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52C61" w:rsidRDefault="00F646C6">
      <w:pPr>
        <w:rPr>
          <w:b/>
          <w:bCs/>
          <w:lang w:val="cs-CZ"/>
        </w:rPr>
      </w:pPr>
      <w:r>
        <w:rPr>
          <w:b/>
          <w:bCs/>
          <w:lang w:val="cs-CZ"/>
        </w:rPr>
        <w:t xml:space="preserve">SMLOUVA O OCHRANĚ DŮVĚRNÝCH INFORMACÍ 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mezi </w:t>
      </w:r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>Obchodní firma</w:t>
      </w:r>
      <w:proofErr w:type="gramStart"/>
      <w:r>
        <w:rPr>
          <w:lang w:val="cs-CZ"/>
        </w:rPr>
        <w:t xml:space="preserve">: </w:t>
      </w:r>
      <w:r>
        <w:rPr>
          <w:color w:val="FF0000"/>
          <w:lang w:val="cs-CZ"/>
        </w:rPr>
        <w:t>?</w:t>
      </w:r>
      <w:proofErr w:type="gramEnd"/>
      <w:r>
        <w:rPr>
          <w:color w:val="FF0000"/>
          <w:lang w:val="cs-CZ"/>
        </w:rPr>
        <w:t xml:space="preserve"> </w:t>
      </w:r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>Sídlo</w:t>
      </w:r>
      <w:proofErr w:type="gramStart"/>
      <w:r>
        <w:rPr>
          <w:lang w:val="cs-CZ"/>
        </w:rPr>
        <w:t xml:space="preserve">: </w:t>
      </w:r>
      <w:r>
        <w:rPr>
          <w:color w:val="FF0000"/>
          <w:lang w:val="cs-CZ"/>
        </w:rPr>
        <w:t>?</w:t>
      </w:r>
      <w:proofErr w:type="gramEnd"/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>IČ</w:t>
      </w:r>
      <w:proofErr w:type="gramStart"/>
      <w:r>
        <w:rPr>
          <w:lang w:val="cs-CZ"/>
        </w:rPr>
        <w:t xml:space="preserve">: </w:t>
      </w:r>
      <w:r>
        <w:rPr>
          <w:color w:val="FF0000"/>
          <w:lang w:val="cs-CZ"/>
        </w:rPr>
        <w:t>?</w:t>
      </w:r>
      <w:proofErr w:type="gramEnd"/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>DIČ</w:t>
      </w:r>
      <w:proofErr w:type="gramStart"/>
      <w:r>
        <w:rPr>
          <w:lang w:val="cs-CZ"/>
        </w:rPr>
        <w:t xml:space="preserve">: </w:t>
      </w:r>
      <w:r>
        <w:rPr>
          <w:color w:val="FF0000"/>
          <w:lang w:val="cs-CZ"/>
        </w:rPr>
        <w:t>?</w:t>
      </w:r>
      <w:proofErr w:type="gramEnd"/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 xml:space="preserve">Zapsána v obchodním rejstříku: </w:t>
      </w:r>
      <w:proofErr w:type="gramStart"/>
      <w:r>
        <w:rPr>
          <w:lang w:val="cs-CZ"/>
        </w:rPr>
        <w:t xml:space="preserve">Oddíl </w:t>
      </w:r>
      <w:r>
        <w:rPr>
          <w:color w:val="FF0000"/>
          <w:lang w:val="cs-CZ"/>
        </w:rPr>
        <w:t>?</w:t>
      </w:r>
      <w:proofErr w:type="gramEnd"/>
      <w:r>
        <w:rPr>
          <w:lang w:val="cs-CZ"/>
        </w:rPr>
        <w:t xml:space="preserve">, vložka </w:t>
      </w:r>
      <w:r>
        <w:rPr>
          <w:color w:val="FF0000"/>
          <w:lang w:val="cs-CZ"/>
        </w:rPr>
        <w:t>?</w:t>
      </w:r>
      <w:r>
        <w:rPr>
          <w:lang w:val="cs-CZ"/>
        </w:rPr>
        <w:t xml:space="preserve">, Krajský soud </w:t>
      </w:r>
      <w:r>
        <w:rPr>
          <w:color w:val="FF0000"/>
          <w:lang w:val="cs-CZ"/>
        </w:rPr>
        <w:t>?</w:t>
      </w:r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>Zastoupená</w:t>
      </w:r>
      <w:proofErr w:type="gramStart"/>
      <w:r>
        <w:rPr>
          <w:lang w:val="cs-CZ"/>
        </w:rPr>
        <w:t xml:space="preserve">: </w:t>
      </w:r>
      <w:r>
        <w:rPr>
          <w:color w:val="FF0000"/>
          <w:lang w:val="cs-CZ"/>
        </w:rPr>
        <w:t>?</w:t>
      </w:r>
      <w:proofErr w:type="gramEnd"/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 xml:space="preserve">                     </w:t>
      </w:r>
    </w:p>
    <w:p w:rsidR="00752C61" w:rsidRDefault="00F646C6">
      <w:pPr>
        <w:jc w:val="left"/>
        <w:rPr>
          <w:lang w:val="cs-CZ"/>
        </w:rPr>
      </w:pPr>
      <w:r>
        <w:rPr>
          <w:lang w:val="cs-CZ"/>
        </w:rPr>
        <w:t>a</w:t>
      </w:r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>Obchodní firma: Siemens Electric Machines s.r.o.</w:t>
      </w:r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>Sídlo: Drásov 126, 664 24 Drásov</w:t>
      </w:r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>IČ: 262 30 755</w:t>
      </w:r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>DIČ: CZ26230755</w:t>
      </w:r>
    </w:p>
    <w:p w:rsidR="00752C61" w:rsidRDefault="00F646C6">
      <w:pPr>
        <w:spacing w:after="0"/>
        <w:rPr>
          <w:lang w:val="cs-CZ"/>
        </w:rPr>
      </w:pPr>
      <w:r>
        <w:rPr>
          <w:lang w:val="cs-CZ"/>
        </w:rPr>
        <w:t>Zapsána v obchodním rejstříku: Oddíl C, vložka 38678, Krajský soud Brno.</w:t>
      </w:r>
    </w:p>
    <w:p w:rsidR="00DA4EC9" w:rsidRDefault="00DA4EC9" w:rsidP="00DA4EC9">
      <w:pPr>
        <w:spacing w:after="0"/>
        <w:rPr>
          <w:lang w:val="cs-CZ"/>
        </w:rPr>
      </w:pPr>
      <w:r>
        <w:rPr>
          <w:lang w:val="cs-CZ"/>
        </w:rPr>
        <w:t>Zastoupená: Dipl.-Ing. Heinrich Jurtan</w:t>
      </w:r>
      <w:r>
        <w:rPr>
          <w:rFonts w:cs="Arial"/>
          <w:color w:val="000000"/>
          <w:sz w:val="16"/>
          <w:szCs w:val="16"/>
        </w:rPr>
        <w:t xml:space="preserve"> </w:t>
      </w:r>
      <w:r>
        <w:rPr>
          <w:lang w:val="cs-CZ"/>
        </w:rPr>
        <w:t>– Jednatel</w:t>
      </w:r>
    </w:p>
    <w:p w:rsidR="00DA4EC9" w:rsidRDefault="00DA4EC9" w:rsidP="00DA4EC9">
      <w:pPr>
        <w:spacing w:after="0"/>
        <w:rPr>
          <w:lang w:val="cs-CZ"/>
        </w:rPr>
      </w:pPr>
      <w:r>
        <w:rPr>
          <w:lang w:val="cs-CZ"/>
        </w:rPr>
        <w:t xml:space="preserve">                     </w:t>
      </w:r>
      <w:r w:rsidR="00630B1D">
        <w:rPr>
          <w:lang w:val="cs-CZ"/>
        </w:rPr>
        <w:t xml:space="preserve">Ing. Roman </w:t>
      </w:r>
      <w:proofErr w:type="gramStart"/>
      <w:r w:rsidR="00630B1D">
        <w:rPr>
          <w:lang w:val="cs-CZ"/>
        </w:rPr>
        <w:t>Kuchař</w:t>
      </w:r>
      <w:bookmarkStart w:id="0" w:name="_GoBack"/>
      <w:bookmarkEnd w:id="0"/>
      <w:r>
        <w:rPr>
          <w:rFonts w:ascii="Calibri" w:eastAsiaTheme="minorEastAsia" w:hAnsi="Calibri" w:cs="Calibri"/>
          <w:noProof/>
          <w:color w:val="1F497D" w:themeColor="text2"/>
          <w:lang w:val="cs-CZ"/>
        </w:rPr>
        <w:t xml:space="preserve"> </w:t>
      </w:r>
      <w:r>
        <w:rPr>
          <w:lang w:val="cs-CZ"/>
        </w:rPr>
        <w:t>- Jednatel</w:t>
      </w:r>
      <w:proofErr w:type="gramEnd"/>
    </w:p>
    <w:p w:rsidR="00752C61" w:rsidRDefault="00752C61">
      <w:pPr>
        <w:rPr>
          <w:lang w:val="cs-CZ"/>
        </w:rPr>
      </w:pPr>
    </w:p>
    <w:p w:rsidR="00752C61" w:rsidRDefault="00F646C6">
      <w:r>
        <w:t xml:space="preserve">- </w:t>
      </w:r>
      <w:proofErr w:type="spellStart"/>
      <w:r>
        <w:t>obě</w:t>
      </w:r>
      <w:proofErr w:type="spellEnd"/>
      <w:r>
        <w:t xml:space="preserve"> </w:t>
      </w:r>
      <w:proofErr w:type="spellStart"/>
      <w:r>
        <w:t>dál</w:t>
      </w:r>
      <w:proofErr w:type="spellEnd"/>
      <w:r>
        <w:t xml:space="preserve"> </w:t>
      </w:r>
      <w:proofErr w:type="spellStart"/>
      <w:r>
        <w:t>jen</w:t>
      </w:r>
      <w:proofErr w:type="spellEnd"/>
      <w:r>
        <w:t xml:space="preserve"> “</w:t>
      </w:r>
      <w:proofErr w:type="spellStart"/>
      <w:r>
        <w:t>Strana</w:t>
      </w:r>
      <w:proofErr w:type="spellEnd"/>
      <w:r>
        <w:t xml:space="preserve">” </w:t>
      </w:r>
      <w:proofErr w:type="spellStart"/>
      <w:r>
        <w:t>či</w:t>
      </w:r>
      <w:proofErr w:type="spellEnd"/>
      <w:r>
        <w:t xml:space="preserve"> “</w:t>
      </w:r>
      <w:proofErr w:type="spellStart"/>
      <w:r>
        <w:t>Strany</w:t>
      </w:r>
      <w:proofErr w:type="spellEnd"/>
      <w:r>
        <w:t xml:space="preserve">”. </w:t>
      </w:r>
    </w:p>
    <w:p w:rsidR="00752C61" w:rsidRDefault="00752C61">
      <w:pPr>
        <w:rPr>
          <w:lang w:val="cs-CZ"/>
        </w:rPr>
      </w:pPr>
    </w:p>
    <w:p w:rsidR="00752C61" w:rsidRDefault="00F646C6">
      <w:pPr>
        <w:rPr>
          <w:lang w:val="cs-CZ"/>
        </w:rPr>
      </w:pPr>
      <w:r>
        <w:rPr>
          <w:lang w:val="cs-CZ"/>
        </w:rPr>
        <w:t>Vzhledem k tomu, že Strany spolu chtějí vést obchodní jednání a během těchto jednání se očekává, že Strany si vzájemně sdělí důvěrné informace určené výhradně pro vnitřní potřebu, uzavírají Strany v souladu s ustanovením § 1746 odst. 2 zákona č. 89/2012 Sb., občanský zákoník, ve znění pozdějších předpisů, následující smlouvu o ochraně důvěrných informací (dále jen "Smlouva"):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t>Článek 1 - Definice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"Důvěrnými informacemi" zejména ve smyslu ustanovení § 504 a § 1730 odst. 2 občanského zákoníku je třeba rozumět jakékoliv informace či data označené Stranou, která informace poskytuje, jako „Důvěrné“ či podobně popsané, zejména jakékoli obchodní či technické informace a data, které jedna ze Stran sdělí druhé, a to na jakémkoliv nosiči – ať už na papíře či elektronicky, včetně poskytnutí informací pomocí internetu. Jsou-li informace sděleny ústně, musí být předem označeny jako důvěrné a identifikace těchto informací musí být shrnuta v písemném protokolu, doručeném druhé Straně nejpozději do 30 dnů po sdělení informací. V případě sporu ohledně obsahu protokolu musí Strana, která informace přijímá, písemně vznést námitky do třiceti (30) dnů od doručení. Důvěrnými informacemi je třeba </w:t>
      </w:r>
      <w:r>
        <w:rPr>
          <w:lang w:val="cs-CZ"/>
        </w:rPr>
        <w:lastRenderedPageBreak/>
        <w:t>rozumět i veškeré jejich kopie, opisy či souhrny. K výkladu pojmu „důvěrné informace“ dle této Smlouvy nelze ani podpůrně použít vymezení důvěrných informací ve smyslu zákona č. 90/2012 Sb., o obchodních korporacích, ve znění pozdějších předpisů.</w:t>
      </w:r>
    </w:p>
    <w:p w:rsidR="00752C61" w:rsidRDefault="00F646C6">
      <w:pPr>
        <w:rPr>
          <w:lang w:val="cs-CZ"/>
        </w:rPr>
      </w:pPr>
      <w:r>
        <w:rPr>
          <w:lang w:val="cs-CZ"/>
        </w:rPr>
        <w:t>"Spojenými společnostmi" je třeba rozumět veškeré subjekty, které jsou k dané Straně v pozici ovládající či ovládané společnosti ve smyslu příslušných ustanovení zákona o obchodních korporacích.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Článek 2 – Utajení informací; Omezení užívání </w:t>
      </w:r>
    </w:p>
    <w:p w:rsidR="00752C61" w:rsidRDefault="00F646C6">
      <w:pPr>
        <w:rPr>
          <w:lang w:val="cs-CZ"/>
        </w:rPr>
      </w:pPr>
      <w:r>
        <w:rPr>
          <w:lang w:val="cs-CZ"/>
        </w:rPr>
        <w:t>Veškeré Důvěrné informace</w:t>
      </w:r>
    </w:p>
    <w:p w:rsidR="00752C61" w:rsidRDefault="00F646C6">
      <w:pPr>
        <w:numPr>
          <w:ilvl w:val="0"/>
          <w:numId w:val="3"/>
        </w:numPr>
        <w:ind w:left="720" w:hanging="720"/>
        <w:rPr>
          <w:lang w:val="cs-CZ"/>
        </w:rPr>
      </w:pPr>
      <w:r>
        <w:rPr>
          <w:lang w:val="cs-CZ"/>
        </w:rPr>
        <w:t>použije Strana, která Důvěrné informace přijímá (dále jen „Přijímací strana“), pouze ke vzájemnému obchodu se společností Siemens; jinak musí mít od Strany, která informace poskytuje (dále jen „Poskytující strana“), písemné svolení k takovému použití;</w:t>
      </w:r>
    </w:p>
    <w:p w:rsidR="00752C61" w:rsidRDefault="00F646C6">
      <w:pPr>
        <w:numPr>
          <w:ilvl w:val="0"/>
          <w:numId w:val="3"/>
        </w:numPr>
        <w:ind w:left="720" w:hanging="720"/>
        <w:rPr>
          <w:lang w:val="cs-CZ"/>
        </w:rPr>
      </w:pPr>
      <w:r>
        <w:rPr>
          <w:lang w:val="cs-CZ"/>
        </w:rPr>
        <w:t xml:space="preserve">nesmí Přijímací strana </w:t>
      </w:r>
      <w:proofErr w:type="spellStart"/>
      <w:r>
        <w:rPr>
          <w:lang w:val="cs-CZ"/>
        </w:rPr>
        <w:t>Strana</w:t>
      </w:r>
      <w:proofErr w:type="spellEnd"/>
      <w:r>
        <w:rPr>
          <w:lang w:val="cs-CZ"/>
        </w:rPr>
        <w:t xml:space="preserve"> jakoukoliv formou rozšiřovat či sdělovat nikomu kromě vlastních zaměstnanců, zaměstnanců Spojených společností, poradců, auditorů a konzultantů Strany (dále jen „Poradci“). Tito Poradci musí být vázáni mlčenlivostí buď ve své pracovní smlouvě či jinak písemnou formou, a to v rozsahu alespoň takovém, v jakém jsou zavázány Strany na základě této Smlouvy; </w:t>
      </w:r>
    </w:p>
    <w:p w:rsidR="00752C61" w:rsidRDefault="00F646C6">
      <w:pPr>
        <w:numPr>
          <w:ilvl w:val="0"/>
          <w:numId w:val="3"/>
        </w:numPr>
        <w:ind w:left="720" w:hanging="720"/>
        <w:rPr>
          <w:lang w:val="cs-CZ"/>
        </w:rPr>
      </w:pPr>
      <w:r>
        <w:rPr>
          <w:lang w:val="cs-CZ"/>
        </w:rPr>
        <w:t xml:space="preserve">musí Přijímací strana držet v tajnosti, a to s takovou péčí, jakou by měla vynakládat pro zacházení a ochranu vlastních Důvěrných informací; </w:t>
      </w:r>
    </w:p>
    <w:p w:rsidR="00752C61" w:rsidRDefault="00F646C6">
      <w:pPr>
        <w:numPr>
          <w:ilvl w:val="0"/>
          <w:numId w:val="3"/>
        </w:numPr>
        <w:ind w:left="720" w:hanging="720"/>
        <w:rPr>
          <w:lang w:val="cs-CZ"/>
        </w:rPr>
      </w:pPr>
      <w:r>
        <w:rPr>
          <w:lang w:val="cs-CZ"/>
        </w:rPr>
        <w:t xml:space="preserve">zůstávají ve vlastnictví Poskytující strany.  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Článek 3 – Výjimky </w:t>
      </w:r>
    </w:p>
    <w:p w:rsidR="00752C61" w:rsidRDefault="00F646C6">
      <w:pPr>
        <w:rPr>
          <w:lang w:val="cs-CZ"/>
        </w:rPr>
      </w:pPr>
      <w:r>
        <w:rPr>
          <w:lang w:val="cs-CZ"/>
        </w:rPr>
        <w:t>Závazky plynoucí z Článku 2, však neplatí pro informace, které:</w:t>
      </w:r>
    </w:p>
    <w:p w:rsidR="00752C61" w:rsidRDefault="00F646C6">
      <w:pPr>
        <w:numPr>
          <w:ilvl w:val="0"/>
          <w:numId w:val="2"/>
        </w:numPr>
        <w:ind w:left="720" w:hanging="720"/>
        <w:rPr>
          <w:lang w:val="cs-CZ"/>
        </w:rPr>
      </w:pPr>
      <w:r>
        <w:rPr>
          <w:lang w:val="cs-CZ"/>
        </w:rPr>
        <w:t>již Přijímací strana měla bez závazku k mlčenlivosti ještě před sdělením Poskytující stranou;</w:t>
      </w:r>
    </w:p>
    <w:p w:rsidR="00752C61" w:rsidRDefault="00F646C6">
      <w:pPr>
        <w:numPr>
          <w:ilvl w:val="0"/>
          <w:numId w:val="2"/>
        </w:numPr>
        <w:ind w:left="720" w:hanging="720"/>
        <w:rPr>
          <w:lang w:val="cs-CZ"/>
        </w:rPr>
      </w:pPr>
      <w:r>
        <w:rPr>
          <w:lang w:val="cs-CZ"/>
        </w:rPr>
        <w:t>jsou v době sdělení již veřejně známé či dostupné, aniž by Přijímací strana, Poradci či Spojené společnosti jakkoliv porušili tuto Smlouvu;</w:t>
      </w:r>
    </w:p>
    <w:p w:rsidR="00752C61" w:rsidRDefault="00F646C6">
      <w:pPr>
        <w:numPr>
          <w:ilvl w:val="0"/>
          <w:numId w:val="2"/>
        </w:numPr>
        <w:ind w:left="720" w:hanging="720"/>
        <w:rPr>
          <w:lang w:val="cs-CZ"/>
        </w:rPr>
      </w:pPr>
      <w:r>
        <w:rPr>
          <w:lang w:val="cs-CZ"/>
        </w:rPr>
        <w:t>Přijímací strana legálně obdržela od třetí strany bez povinnosti zachovávat mlčenlivost, pokud není Přijímací straně známo, že tato třetí strana sama porušuje povinnost k mlčenlivosti, která se k informacím vztahuje;</w:t>
      </w:r>
    </w:p>
    <w:p w:rsidR="00752C61" w:rsidRDefault="00F646C6">
      <w:pPr>
        <w:numPr>
          <w:ilvl w:val="0"/>
          <w:numId w:val="2"/>
        </w:numPr>
        <w:ind w:left="720" w:hanging="720"/>
        <w:rPr>
          <w:lang w:val="cs-CZ"/>
        </w:rPr>
      </w:pPr>
      <w:r>
        <w:rPr>
          <w:lang w:val="cs-CZ"/>
        </w:rPr>
        <w:lastRenderedPageBreak/>
        <w:t xml:space="preserve">jsou Přijímací stranou nebo Spojenými společnostmi vyvinuty nebo odvozeny nezávisle na poskytnutí jakýchkoliv Důvěrných informacích nebo v souladu s výjimkami podle Článku 3 </w:t>
      </w:r>
      <w:proofErr w:type="gramStart"/>
      <w:r>
        <w:rPr>
          <w:lang w:val="cs-CZ"/>
        </w:rPr>
        <w:t>bodu  i</w:t>
      </w:r>
      <w:proofErr w:type="gramEnd"/>
      <w:r>
        <w:rPr>
          <w:lang w:val="cs-CZ"/>
        </w:rPr>
        <w:t xml:space="preserve">)  až </w:t>
      </w:r>
      <w:proofErr w:type="spellStart"/>
      <w:r>
        <w:rPr>
          <w:lang w:val="cs-CZ"/>
        </w:rPr>
        <w:t>iii</w:t>
      </w:r>
      <w:proofErr w:type="spellEnd"/>
      <w:r>
        <w:rPr>
          <w:lang w:val="cs-CZ"/>
        </w:rPr>
        <w:t xml:space="preserve">) nebo v); </w:t>
      </w:r>
    </w:p>
    <w:p w:rsidR="00752C61" w:rsidRDefault="00F646C6">
      <w:pPr>
        <w:numPr>
          <w:ilvl w:val="0"/>
          <w:numId w:val="2"/>
        </w:numPr>
        <w:ind w:left="720" w:hanging="720"/>
        <w:rPr>
          <w:lang w:val="cs-CZ"/>
        </w:rPr>
      </w:pPr>
      <w:r>
        <w:rPr>
          <w:lang w:val="cs-CZ"/>
        </w:rPr>
        <w:t xml:space="preserve">které Poskytující strana písemně schválila ke zveřejnění. 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Strana, která se výjimky dovolává, nese důkazní břemeno vzhledem k předpokladům uplatnění takové výjimky.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Přijímací strana je oprávněna Důvěrné informace obdržené od Poskytující strany sdělit třetímu, pokud </w:t>
      </w:r>
    </w:p>
    <w:p w:rsidR="00752C61" w:rsidRDefault="00F646C6">
      <w:pPr>
        <w:rPr>
          <w:lang w:val="cs-CZ"/>
        </w:rPr>
      </w:pPr>
      <w:r>
        <w:rPr>
          <w:lang w:val="cs-CZ"/>
        </w:rPr>
        <w:t>a) je takový postup vyžadován obecně závaznými právními předpisy, veřejnoprávními orgány či soudem, a</w:t>
      </w:r>
    </w:p>
    <w:p w:rsidR="00752C61" w:rsidRDefault="00F646C6">
      <w:pPr>
        <w:rPr>
          <w:lang w:val="cs-CZ"/>
        </w:rPr>
      </w:pPr>
      <w:r>
        <w:rPr>
          <w:lang w:val="cs-CZ"/>
        </w:rPr>
        <w:t>b) pokud je o tom Poskytující strana bez prodlení písemně spravena, a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c) pokud Přijímací strana provede veškerá opatření k ochraně informací, která je možno po ní spravedlivě žádat, a </w:t>
      </w:r>
    </w:p>
    <w:p w:rsidR="00752C61" w:rsidRDefault="00F646C6">
      <w:pPr>
        <w:rPr>
          <w:lang w:val="cs-CZ"/>
        </w:rPr>
      </w:pPr>
      <w:r>
        <w:rPr>
          <w:lang w:val="cs-CZ"/>
        </w:rPr>
        <w:t>d) pokud sdělené informace třetímu jsou řádně označeny jako „Důvěrné“.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Článek 4 – Odmítnutí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Každá Strana má právo odmítnout přijmutí jakýchkoli informací před jejich sdělením; na informace sdělené navzdory takovému odmítnutí se nevztahují povinnosti dle této Smlouvy.  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Článek 5 – Neposkytování licence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Na základě této Smlouvy se neposkytuje jakákoli licence či jakákoliv jiná práva k nehmotným statkům, jako jsou například patenty či vynálezy, užitné vzory, ochranné známky, či jiná technická řešení nebo obchodní </w:t>
      </w:r>
      <w:proofErr w:type="gramStart"/>
      <w:r>
        <w:rPr>
          <w:lang w:val="cs-CZ"/>
        </w:rPr>
        <w:t>označení,  jakož</w:t>
      </w:r>
      <w:proofErr w:type="gramEnd"/>
      <w:r>
        <w:rPr>
          <w:lang w:val="cs-CZ"/>
        </w:rPr>
        <w:t xml:space="preserve"> se rovněž neukládá Poskytující straně povinnost poskytovat či udělovat taková práva Přijímací straně. Přijímací strana nemá za povinnost žádat o jakoukoli úřední či jinou formální ochranu pro určité teritorium pro poskytnuté Důvěrné informace či jakýkoli statek z nich se odvozující. Jakákoli právní ochrana poskytnutých důvěrných informací či odvozených statků bude postoupena Poskytující straně na její žádost a bez jakýchkoli poplatků, pokud takováto právní ochrana byla Přijímající straně udělena. Sdělením Důvěrných informací nevzniká Přijímací straně právo přednostního užívání.  </w:t>
      </w: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lastRenderedPageBreak/>
        <w:t>Článek 6 – Bezplatnost; vyloučení záruk a odpovědnosti za poskytované informace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Informace dle této Smlouvy jsou druhé Straně poskytovány bezplatně. Vyloučeno je jakékoli poskytnutí záruky Poskytující stranou či jakákoliv odpovědnost Poskytující strany za sdělované informace, a to zejména s ohledem na jejich správnost, bezvadnost, úplnost, vhodnost, vzhledem na skutečnost, zda nezasahují do práv třetích stran. 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t>Článek 7 - Zánik Smlouvy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Tato Smlouva nabývá  platnosti a účinnosti jejím podepsáním oběma Stranami. Nebude-li podepsána oběma Stranami téhož dne, stává se platnou a účinnou dnem </w:t>
      </w:r>
      <w:proofErr w:type="gramStart"/>
      <w:r>
        <w:rPr>
          <w:lang w:val="cs-CZ"/>
        </w:rPr>
        <w:t>podpisu  pozdějšího</w:t>
      </w:r>
      <w:proofErr w:type="gramEnd"/>
      <w:r>
        <w:rPr>
          <w:lang w:val="cs-CZ"/>
        </w:rPr>
        <w:t>. Doba účinnosti smlouvy je na dobu neurčitou od nabytí účinnosti. Smlouvu lze předčasně ukončit podáním písemné výpovědi, a to i bez důvodu, s </w:t>
      </w:r>
      <w:proofErr w:type="gramStart"/>
      <w:r>
        <w:rPr>
          <w:lang w:val="cs-CZ"/>
        </w:rPr>
        <w:t>30-denní</w:t>
      </w:r>
      <w:proofErr w:type="gramEnd"/>
      <w:r>
        <w:rPr>
          <w:lang w:val="cs-CZ"/>
        </w:rPr>
        <w:t xml:space="preserve"> výpovědní lhůtou plynoucí od doručení druhé Straně. Práva a povinnosti Stran, které vznikly před zánikem Smlouvy, přetrvávají i po ukončení Smlouvy, a to po dobu čtyř (4) let od jejího zániku. 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Článek 8 - Vrácení Důvěrných informací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Do devadesáti (90) dnů po ukončení této Smlouvy může Poskytující strana od Přijímací strany písemně požadovat, aby (na základě volby Poskytující strany a s ohledem na charakter nosiče poskytnutých informací) buď vrátila či zničila veškeré Důvěrné informace, které obdržela od Poskytující strany, a to bez ohledu na charakter nosiče informací, včetně kopií. Přijímací strana písemně potvrdí toto zničení či vrácení Důvěrných informací, a to do čtrnácti 14 dnů od obdržení tohoto požadavku.  </w:t>
      </w:r>
    </w:p>
    <w:p w:rsidR="00752C61" w:rsidRDefault="00F646C6">
      <w:pPr>
        <w:rPr>
          <w:lang w:val="cs-CZ"/>
        </w:rPr>
      </w:pPr>
      <w:r>
        <w:rPr>
          <w:lang w:val="cs-CZ"/>
        </w:rPr>
        <w:t>Věta prvá tohoto článku se nevztahuje na elektronické kopie Důvěrných informací, které byly pořízeny jako běžná technologická záloha dat</w:t>
      </w:r>
      <w:r>
        <w:rPr>
          <w:rFonts w:ascii="Book Antiqua" w:hAnsi="Book Antiqua"/>
          <w:lang w:val="cs-CZ"/>
        </w:rPr>
        <w:t xml:space="preserve">, </w:t>
      </w:r>
      <w:r>
        <w:rPr>
          <w:lang w:val="cs-CZ"/>
        </w:rPr>
        <w:t xml:space="preserve">a na Důvěrné informace či jejich kopie, které musí Přijímací strana, Spojené společnosti a Poradci uchovávat tak, jak je stanoveno právními předpisy či interními směrnicemi na dodržování </w:t>
      </w:r>
      <w:proofErr w:type="spellStart"/>
      <w:r>
        <w:rPr>
          <w:lang w:val="cs-CZ"/>
        </w:rPr>
        <w:t>compliance</w:t>
      </w:r>
      <w:proofErr w:type="spellEnd"/>
      <w:r>
        <w:rPr>
          <w:lang w:val="cs-CZ"/>
        </w:rPr>
        <w:t xml:space="preserve"> - pravidel. 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Článek 9 – Odpovědnost Spojených společností a Poradců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Pokud jedna Strana sdělí Důvěrné informace kterékoliv své Spojené společnosti či </w:t>
      </w:r>
      <w:proofErr w:type="gramStart"/>
      <w:r>
        <w:rPr>
          <w:lang w:val="cs-CZ"/>
        </w:rPr>
        <w:t>jejím  zaměstnancům</w:t>
      </w:r>
      <w:proofErr w:type="gramEnd"/>
      <w:r>
        <w:rPr>
          <w:lang w:val="cs-CZ"/>
        </w:rPr>
        <w:t xml:space="preserve"> nebo jejím Poradcům, ponese tato Strana odpovědnost za jednání či opomenutí těchto subjektů (a to i v případě, že Spojená společnost přestane později splňovat definici spojené společnosti), které by vedly k neoprávněnému zpřístupnění či zveřejnění Důvěrných informací. 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lastRenderedPageBreak/>
        <w:t>Článek 10 – Řešení sporů</w:t>
      </w:r>
    </w:p>
    <w:p w:rsidR="00752C61" w:rsidRDefault="00F646C6">
      <w:pPr>
        <w:pStyle w:val="Nadpis1"/>
        <w:numPr>
          <w:ilvl w:val="0"/>
          <w:numId w:val="0"/>
        </w:numPr>
        <w:rPr>
          <w:b w:val="0"/>
          <w:bCs w:val="0"/>
          <w:lang w:val="cs-CZ"/>
        </w:rPr>
      </w:pPr>
      <w:r>
        <w:rPr>
          <w:b w:val="0"/>
          <w:bCs w:val="0"/>
          <w:lang w:val="cs-CZ"/>
        </w:rPr>
        <w:t xml:space="preserve">Pokud ve spojitosti s touto Smlouvou nastane jakýkoliv spor pokusí se oprávnění zástupci Stran vzájemně takový spor urovnat. Každá Strana má právo kdykoliv ukončit vyjednávání o urovnání sporu a pokusit se spor řešit zahájením ADR-řízení tak, jak popsáno dále, a to písemným oznámením druhé Straně.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Pokud Strany nemohou dospět k přátelskému urovnání podle předcházejícího odstavce, vynasnaží se domluvit se na vhodné alternativní metodě řešení sporu (ADR - </w:t>
      </w:r>
      <w:proofErr w:type="spellStart"/>
      <w:r>
        <w:rPr>
          <w:lang w:val="cs-CZ"/>
        </w:rPr>
        <w:t>Alternative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Dispute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Resolution</w:t>
      </w:r>
      <w:proofErr w:type="spellEnd"/>
      <w:r>
        <w:rPr>
          <w:lang w:val="cs-CZ"/>
        </w:rPr>
        <w:t xml:space="preserve">; například mediační řízení, </w:t>
      </w:r>
      <w:proofErr w:type="spellStart"/>
      <w:r>
        <w:rPr>
          <w:lang w:val="cs-CZ"/>
        </w:rPr>
        <w:t>smírší</w:t>
      </w:r>
      <w:proofErr w:type="spellEnd"/>
      <w:r>
        <w:rPr>
          <w:lang w:val="cs-CZ"/>
        </w:rPr>
        <w:t xml:space="preserve"> řízení, znalecké rozhodnutí apod.). Pokud není dosaženo shody o použití konkrétního ADR-řízení ani do čtrnácti (14) dnů po zahájení rozhovorů o tomto tématu, nebo pokud není spor vyřešen pomocí ADR-řízení do doby dvou (2) měsíců po zahájení takového řízení, může se každá ze Stran domáhat svých práv u příslušného soudu. 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t>Článek 11 - Příslušné zákony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Tato Smlouva a právní vztahy z ní vyplývající se řídí právním řádem České republiky. Není-li uvedeno jinak, řídí se právní vztah mezi Stranami ustanoveními občanského zákoníku. 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Článek 12 - Postoupení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Ani tato Smlouva ani žádná práva a povinnosti podle této Smlouvy nemohou být postoupeny či jakkoli převedeny na třetí stranu bez předchozího písemného souhlasu druhé Strany. 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 </w:t>
      </w: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t>Článek 13 - Psaná forma</w:t>
      </w:r>
    </w:p>
    <w:p w:rsidR="00752C61" w:rsidRDefault="00F646C6">
      <w:pPr>
        <w:pStyle w:val="Zkladntext"/>
        <w:rPr>
          <w:lang w:val="cs-CZ"/>
        </w:rPr>
      </w:pPr>
      <w:r>
        <w:rPr>
          <w:lang w:val="cs-CZ"/>
        </w:rPr>
        <w:t xml:space="preserve">Strany mohou tuto Smlouvu měnit či doplňovat pouze písemnými dodatky. Požadavek na tyto písemné dodatky lze zrušit pouze písemně. </w:t>
      </w:r>
    </w:p>
    <w:p w:rsidR="00752C61" w:rsidRDefault="00752C61">
      <w:pPr>
        <w:pStyle w:val="Zkladntext"/>
        <w:rPr>
          <w:lang w:val="cs-CZ"/>
        </w:rPr>
      </w:pPr>
    </w:p>
    <w:p w:rsidR="00752C61" w:rsidRDefault="00F646C6">
      <w:pPr>
        <w:pStyle w:val="Nadpis1"/>
        <w:numPr>
          <w:ilvl w:val="0"/>
          <w:numId w:val="0"/>
        </w:numPr>
        <w:rPr>
          <w:lang w:val="cs-CZ"/>
        </w:rPr>
      </w:pPr>
      <w:r>
        <w:rPr>
          <w:lang w:val="cs-CZ"/>
        </w:rPr>
        <w:t xml:space="preserve">Článek 14 - Oddělitelnost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Je-li nebo stane-li se některé ustanovení této Smlouvy neplatné či neúčinné, nedotýká se to ostatních ustanovení této Smlouvy, která zůstávají platná a účinná. Strany se v tomto případě zavazují bez zbytečného prodlení vzájemnou dohodou nahradit takové ustanovení novým, které nejlépe odpovídá původně zamýšlenému ustanovení. Do té doby platí odpovídající úprava obecně závazných právních předpisů České republiky. </w:t>
      </w:r>
    </w:p>
    <w:p w:rsidR="00752C61" w:rsidRDefault="00752C61">
      <w:pPr>
        <w:rPr>
          <w:lang w:val="cs-CZ"/>
        </w:rPr>
      </w:pPr>
    </w:p>
    <w:p w:rsidR="00752C61" w:rsidRDefault="00F646C6">
      <w:pPr>
        <w:pStyle w:val="Nadpis1"/>
        <w:keepNext/>
        <w:numPr>
          <w:ilvl w:val="0"/>
          <w:numId w:val="0"/>
        </w:numPr>
        <w:rPr>
          <w:lang w:val="cs-CZ"/>
        </w:rPr>
      </w:pPr>
      <w:r>
        <w:rPr>
          <w:lang w:val="cs-CZ"/>
        </w:rPr>
        <w:lastRenderedPageBreak/>
        <w:t xml:space="preserve">Článek 15 – Závěrečná ustanovení </w:t>
      </w:r>
    </w:p>
    <w:p w:rsidR="00752C61" w:rsidRDefault="00F646C6">
      <w:pPr>
        <w:rPr>
          <w:lang w:val="cs-CZ"/>
        </w:rPr>
      </w:pPr>
      <w:r>
        <w:rPr>
          <w:lang w:val="cs-CZ"/>
        </w:rPr>
        <w:t xml:space="preserve">Tato Smlouva je vyhotovena ve dvou stejnopisech, z nichž každá ze Stran obdrží po jednom. Strany tímto prohlašují, že obsah této Smlouvy řádně zvážily, její celý text přečetly a pochopily, a že ji uzavírají o své vůli a za přiměřených, nikoli jednostranně nevýhodných podmínek. Uvedené skutečnosti Strany stvrzují svými podpisy. </w:t>
      </w:r>
    </w:p>
    <w:p w:rsidR="00752C61" w:rsidRDefault="00F646C6">
      <w:pPr>
        <w:rPr>
          <w:lang w:val="cs-CZ"/>
        </w:rPr>
      </w:pPr>
      <w:r>
        <w:rPr>
          <w:lang w:val="cs-CZ"/>
        </w:rPr>
        <w:t>Strany souhlasí, že tato Smlouva není smlouvou o uzavření budoucí smlouvy, nezakládá na straně Přijímající strany žádný závazek k uzavření takové smlouvy s Poskytující stranou v budoucnu a účelem této Smlouvy tak není zavázat jakoukoli ze Stran k přistoupení k dalším dohodám s druhou Stranou nebo k pokračování jakéhokoli vzájemného vztahu nebo k jiným operacím, ani takový závazek z této Smlouvy nevyplývá. Jakékoliv takové závazky mohou být předmětem samostatných dohod mezi Stranami.</w:t>
      </w:r>
    </w:p>
    <w:p w:rsidR="00752C61" w:rsidRDefault="00752C61">
      <w:pPr>
        <w:rPr>
          <w:lang w:val="cs-CZ"/>
        </w:rPr>
      </w:pP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3250"/>
        <w:gridCol w:w="900"/>
        <w:gridCol w:w="4136"/>
      </w:tblGrid>
      <w:tr w:rsidR="00752C61" w:rsidRPr="00630B1D">
        <w:trPr>
          <w:trHeight w:val="4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roofErr w:type="spellStart"/>
            <w:r>
              <w:t>Za</w:t>
            </w:r>
            <w:proofErr w:type="spellEnd"/>
          </w:p>
        </w:tc>
        <w:tc>
          <w:tcPr>
            <w:tcW w:w="82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C61" w:rsidRDefault="00F646C6">
            <w:pPr>
              <w:rPr>
                <w:lang w:val="en-US"/>
              </w:rPr>
            </w:pPr>
            <w:r>
              <w:rPr>
                <w:lang w:val="en-US"/>
              </w:rPr>
              <w:t>Siemens Electric Machines s.r.o.</w:t>
            </w:r>
          </w:p>
        </w:tc>
      </w:tr>
      <w:tr w:rsidR="00752C61">
        <w:trPr>
          <w:trHeight w:val="4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C61" w:rsidRDefault="00752C61">
            <w:pPr>
              <w:rPr>
                <w:lang w:val="en-US"/>
              </w:rPr>
            </w:pPr>
          </w:p>
          <w:p w:rsidR="00752C61" w:rsidRDefault="00F646C6">
            <w:pPr>
              <w:rPr>
                <w:lang w:val="en-US"/>
              </w:rPr>
            </w:pPr>
            <w:r>
              <w:rPr>
                <w:lang w:val="en-US"/>
              </w:rPr>
              <w:t xml:space="preserve">V Drásově, dne </w:t>
            </w:r>
          </w:p>
        </w:tc>
      </w:tr>
      <w:tr w:rsidR="00752C61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Podpis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Podpis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>
            <w:pPr>
              <w:rPr>
                <w:lang w:val="en-US"/>
              </w:rPr>
            </w:pPr>
          </w:p>
        </w:tc>
      </w:tr>
      <w:tr w:rsidR="00752C61">
        <w:trPr>
          <w:trHeight w:val="4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Jméno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Jméno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>
            <w:pPr>
              <w:rPr>
                <w:lang w:val="en-US"/>
              </w:rPr>
            </w:pPr>
          </w:p>
        </w:tc>
      </w:tr>
      <w:tr w:rsidR="00752C61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Funkce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Funkce</w:t>
            </w:r>
            <w:proofErr w:type="spellEnd"/>
          </w:p>
        </w:tc>
        <w:tc>
          <w:tcPr>
            <w:tcW w:w="4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>
            <w:pPr>
              <w:rPr>
                <w:lang w:val="en-US"/>
              </w:rPr>
            </w:pPr>
          </w:p>
        </w:tc>
      </w:tr>
      <w:tr w:rsidR="00752C61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>
            <w:pPr>
              <w:rPr>
                <w:lang w:val="en-US"/>
              </w:rPr>
            </w:pPr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>
            <w:pPr>
              <w:rPr>
                <w:lang w:val="en-US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>
            <w:pPr>
              <w:rPr>
                <w:lang w:val="en-US"/>
              </w:rPr>
            </w:pPr>
          </w:p>
        </w:tc>
      </w:tr>
    </w:tbl>
    <w:p w:rsidR="00752C61" w:rsidRDefault="00752C61">
      <w:pPr>
        <w:rPr>
          <w:lang w:val="en-US"/>
        </w:rPr>
      </w:pPr>
    </w:p>
    <w:tbl>
      <w:tblPr>
        <w:tblW w:w="921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"/>
        <w:gridCol w:w="3250"/>
        <w:gridCol w:w="928"/>
        <w:gridCol w:w="4108"/>
      </w:tblGrid>
      <w:tr w:rsidR="00752C61">
        <w:trPr>
          <w:trHeight w:val="42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Pr>
              <w:rPr>
                <w:lang w:val="en-US"/>
              </w:rPr>
            </w:pPr>
            <w:r>
              <w:rPr>
                <w:lang w:val="en-US"/>
              </w:rPr>
              <w:t>Za</w:t>
            </w:r>
          </w:p>
        </w:tc>
        <w:tc>
          <w:tcPr>
            <w:tcW w:w="82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C61" w:rsidRDefault="00F646C6">
            <w:pPr>
              <w:rPr>
                <w:color w:val="FF0000"/>
                <w:lang w:val="en-US"/>
              </w:rPr>
            </w:pPr>
            <w:r>
              <w:rPr>
                <w:color w:val="FF0000"/>
                <w:lang w:val="cs-CZ"/>
              </w:rPr>
              <w:t>?</w:t>
            </w:r>
          </w:p>
        </w:tc>
      </w:tr>
      <w:tr w:rsidR="00752C61">
        <w:trPr>
          <w:trHeight w:val="420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52C61" w:rsidRDefault="00752C61"/>
          <w:p w:rsidR="00752C61" w:rsidRDefault="00F646C6">
            <w:r>
              <w:t xml:space="preserve">V </w:t>
            </w:r>
            <w:r>
              <w:rPr>
                <w:color w:val="FF0000"/>
              </w:rPr>
              <w:t>?</w:t>
            </w:r>
            <w:r>
              <w:t xml:space="preserve">, dne                                  </w:t>
            </w:r>
          </w:p>
        </w:tc>
      </w:tr>
      <w:tr w:rsidR="00752C61">
        <w:trPr>
          <w:trHeight w:val="8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roofErr w:type="spellStart"/>
            <w:r>
              <w:t>Podpis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/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roofErr w:type="spellStart"/>
            <w:r>
              <w:t>Podpis</w:t>
            </w:r>
            <w:proofErr w:type="spellEnd"/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/>
        </w:tc>
      </w:tr>
      <w:tr w:rsidR="00752C61">
        <w:trPr>
          <w:trHeight w:val="42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roofErr w:type="spellStart"/>
            <w:r>
              <w:t>Jméno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/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roofErr w:type="spellStart"/>
            <w:r>
              <w:t>Jméno</w:t>
            </w:r>
            <w:proofErr w:type="spellEnd"/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/>
        </w:tc>
      </w:tr>
      <w:tr w:rsidR="00752C61">
        <w:trPr>
          <w:trHeight w:val="40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roofErr w:type="spellStart"/>
            <w:r>
              <w:t>Funkce</w:t>
            </w:r>
            <w:proofErr w:type="spellEnd"/>
          </w:p>
        </w:tc>
        <w:tc>
          <w:tcPr>
            <w:tcW w:w="3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/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F646C6">
            <w:proofErr w:type="spellStart"/>
            <w:r>
              <w:t>Funkce</w:t>
            </w:r>
            <w:proofErr w:type="spellEnd"/>
          </w:p>
        </w:tc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2C61" w:rsidRDefault="00752C61"/>
        </w:tc>
      </w:tr>
    </w:tbl>
    <w:p w:rsidR="00752C61" w:rsidRDefault="00752C61">
      <w:pPr>
        <w:ind w:firstLine="708"/>
      </w:pPr>
    </w:p>
    <w:sectPr w:rsidR="00752C61">
      <w:headerReference w:type="default" r:id="rId12"/>
      <w:footerReference w:type="default" r:id="rId13"/>
      <w:footerReference w:type="first" r:id="rId14"/>
      <w:footnotePr>
        <w:pos w:val="beneathText"/>
      </w:footnotePr>
      <w:pgSz w:w="11905" w:h="16837"/>
      <w:pgMar w:top="1418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8A2" w:rsidRDefault="008408A2">
      <w:r>
        <w:separator/>
      </w:r>
    </w:p>
  </w:endnote>
  <w:endnote w:type="continuationSeparator" w:id="0">
    <w:p w:rsidR="008408A2" w:rsidRDefault="0084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C61" w:rsidRDefault="00F646C6">
    <w:pPr>
      <w:spacing w:after="0" w:line="240" w:lineRule="auto"/>
      <w:jc w:val="center"/>
      <w:rPr>
        <w:b/>
        <w:bCs/>
        <w:sz w:val="20"/>
        <w:lang w:val="en-US"/>
      </w:rPr>
    </w:pPr>
    <w:r>
      <w:rPr>
        <w:b/>
        <w:bCs/>
        <w:sz w:val="20"/>
        <w:lang w:val="en-US"/>
      </w:rPr>
      <w:t>CONFIDENTIAL</w:t>
    </w:r>
  </w:p>
  <w:p w:rsidR="00752C61" w:rsidRDefault="00752C61">
    <w:pPr>
      <w:spacing w:after="0" w:line="240" w:lineRule="auto"/>
      <w:jc w:val="center"/>
      <w:rPr>
        <w:b/>
        <w:bCs/>
        <w:sz w:val="20"/>
        <w:lang w:val="en-US"/>
      </w:rPr>
    </w:pPr>
  </w:p>
  <w:p w:rsidR="00752C61" w:rsidRDefault="00752C61">
    <w:pPr>
      <w:spacing w:after="0" w:line="240" w:lineRule="auto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C61" w:rsidRDefault="00F646C6">
    <w:pPr>
      <w:spacing w:after="0" w:line="240" w:lineRule="auto"/>
      <w:jc w:val="center"/>
      <w:rPr>
        <w:b/>
        <w:bCs/>
        <w:sz w:val="20"/>
        <w:lang w:val="en-US"/>
      </w:rPr>
    </w:pPr>
    <w:r>
      <w:rPr>
        <w:b/>
        <w:bCs/>
        <w:sz w:val="20"/>
        <w:lang w:val="en-US"/>
      </w:rPr>
      <w:t>CONFIDENTIAL</w:t>
    </w:r>
  </w:p>
  <w:p w:rsidR="00752C61" w:rsidRDefault="00752C61">
    <w:pPr>
      <w:spacing w:after="0" w:line="240" w:lineRule="auto"/>
      <w:jc w:val="cen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8A2" w:rsidRDefault="008408A2">
      <w:r>
        <w:separator/>
      </w:r>
    </w:p>
  </w:footnote>
  <w:footnote w:type="continuationSeparator" w:id="0">
    <w:p w:rsidR="008408A2" w:rsidRDefault="00840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C61" w:rsidRDefault="008408A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.05pt;width:6.1pt;height:12.6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752C61" w:rsidRDefault="00F646C6"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A4EC9">
                  <w:rPr>
                    <w:noProof/>
                  </w:rPr>
                  <w:t>6</w:t>
                </w:r>
                <w:r>
                  <w:fldChar w:fldCharType="end"/>
                </w:r>
                <w:r>
                  <w:t xml:space="preserve"> z </w:t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dpis1"/>
      <w:suff w:val="space"/>
      <w:lvlText w:val="Article %1 - 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87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3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3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396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1789"/>
        </w:tabs>
        <w:ind w:left="1789" w:hanging="709"/>
      </w:pPr>
      <w:rPr>
        <w:rFonts w:ascii="Arial" w:hAnsi="Arial"/>
        <w:b w:val="0"/>
        <w:i w:val="0"/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lowerRoman"/>
      <w:lvlText w:val="(%1)"/>
      <w:lvlJc w:val="left"/>
      <w:pPr>
        <w:tabs>
          <w:tab w:val="num" w:pos="1429"/>
        </w:tabs>
        <w:ind w:left="1429" w:hanging="709"/>
      </w:pPr>
      <w:rPr>
        <w:rFonts w:ascii="Arial" w:hAnsi="Arial"/>
        <w:b w:val="0"/>
        <w:i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C61"/>
    <w:rsid w:val="00630B1D"/>
    <w:rsid w:val="00752C61"/>
    <w:rsid w:val="008068D5"/>
    <w:rsid w:val="008408A2"/>
    <w:rsid w:val="00DA4EC9"/>
    <w:rsid w:val="00F6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34BEB2"/>
  <w15:docId w15:val="{2DF7FA72-037F-4D3F-9B12-3AC22BD4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suppressAutoHyphens/>
      <w:spacing w:after="240" w:line="300" w:lineRule="auto"/>
      <w:jc w:val="both"/>
    </w:pPr>
    <w:rPr>
      <w:rFonts w:ascii="Arial" w:hAnsi="Arial"/>
      <w:sz w:val="22"/>
      <w:lang w:val="de-DE" w:eastAsia="ar-SA"/>
    </w:rPr>
  </w:style>
  <w:style w:type="paragraph" w:styleId="Nadpis1">
    <w:name w:val="heading 1"/>
    <w:basedOn w:val="Normln"/>
    <w:next w:val="Normln"/>
    <w:qFormat/>
    <w:pPr>
      <w:numPr>
        <w:numId w:val="1"/>
      </w:numPr>
      <w:outlineLvl w:val="0"/>
    </w:pPr>
    <w:rPr>
      <w:b/>
      <w:bCs/>
      <w:szCs w:val="24"/>
      <w:lang w:val="en-US"/>
    </w:rPr>
  </w:style>
  <w:style w:type="paragraph" w:styleId="Nadpis2">
    <w:name w:val="heading 2"/>
    <w:basedOn w:val="Normln"/>
    <w:next w:val="Normln"/>
    <w:qFormat/>
    <w:pPr>
      <w:numPr>
        <w:ilvl w:val="1"/>
        <w:numId w:val="1"/>
      </w:numPr>
      <w:outlineLvl w:val="1"/>
    </w:pPr>
    <w:rPr>
      <w:lang w:val="en-US"/>
    </w:rPr>
  </w:style>
  <w:style w:type="paragraph" w:styleId="Nadpis3">
    <w:name w:val="heading 3"/>
    <w:basedOn w:val="Normln"/>
    <w:next w:val="Normln"/>
    <w:qFormat/>
    <w:pPr>
      <w:numPr>
        <w:ilvl w:val="2"/>
        <w:numId w:val="1"/>
      </w:numPr>
      <w:outlineLvl w:val="2"/>
    </w:pPr>
    <w:rPr>
      <w:bCs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/>
      <w:b/>
      <w:i w:val="0"/>
      <w:sz w:val="22"/>
    </w:rPr>
  </w:style>
  <w:style w:type="character" w:customStyle="1" w:styleId="WW8Num1z1">
    <w:name w:val="WW8Num1z1"/>
    <w:rPr>
      <w:rFonts w:ascii="Arial" w:hAnsi="Arial"/>
      <w:b w:val="0"/>
      <w:i w:val="0"/>
      <w:sz w:val="22"/>
    </w:rPr>
  </w:style>
  <w:style w:type="character" w:customStyle="1" w:styleId="WW8Num2z0">
    <w:name w:val="WW8Num2z0"/>
    <w:rPr>
      <w:rFonts w:ascii="Arial" w:hAnsi="Arial"/>
      <w:b w:val="0"/>
      <w:i w:val="0"/>
      <w:sz w:val="22"/>
    </w:rPr>
  </w:style>
  <w:style w:type="character" w:customStyle="1" w:styleId="WW8Num3z0">
    <w:name w:val="WW8Num3z0"/>
    <w:rPr>
      <w:rFonts w:ascii="Arial" w:hAnsi="Arial"/>
      <w:b/>
      <w:i w:val="0"/>
      <w:sz w:val="22"/>
    </w:rPr>
  </w:style>
  <w:style w:type="character" w:customStyle="1" w:styleId="WW8Num3z1">
    <w:name w:val="WW8Num3z1"/>
    <w:rPr>
      <w:rFonts w:ascii="Arial" w:hAnsi="Arial"/>
      <w:b w:val="0"/>
      <w:i w:val="0"/>
      <w:sz w:val="22"/>
    </w:rPr>
  </w:style>
  <w:style w:type="character" w:customStyle="1" w:styleId="WW8Num4z0">
    <w:name w:val="WW8Num4z0"/>
    <w:rPr>
      <w:rFonts w:ascii="Arial" w:hAnsi="Arial"/>
      <w:b w:val="0"/>
      <w:i w:val="0"/>
      <w:sz w:val="22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Zpat">
    <w:name w:val="footer"/>
    <w:basedOn w:val="Normln"/>
    <w:pPr>
      <w:suppressLineNumbers/>
      <w:tabs>
        <w:tab w:val="center" w:pos="4818"/>
        <w:tab w:val="right" w:pos="9637"/>
      </w:tabs>
    </w:pPr>
  </w:style>
  <w:style w:type="paragraph" w:styleId="Zhlav">
    <w:name w:val="header"/>
    <w:basedOn w:val="Normln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Zkladntext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customStyle="1" w:styleId="preformatted">
    <w:name w:val="preformatted"/>
    <w:basedOn w:val="Standardnpsmoodstavce"/>
  </w:style>
  <w:style w:type="character" w:customStyle="1" w:styleId="nowrap">
    <w:name w:val="nowrap"/>
    <w:basedOn w:val="Standardnpsmoodstav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5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0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74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8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9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7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493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44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44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09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065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86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1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90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72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33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50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83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4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0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26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52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75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5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655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376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zarazeni xmlns="543ddcd1-f755-4e2d-ba5e-08b412a034b0">Právní informace</zarazeni>
    <odpovednost xmlns="543ddcd1-f755-4e2d-ba5e-08b412a034b0">
      <UserInfo xmlns="543ddcd1-f755-4e2d-ba5e-08b412a034b0">
        <DisplayName xmlns="543ddcd1-f755-4e2d-ba5e-08b412a034b0"/>
        <AccountId xmlns="543ddcd1-f755-4e2d-ba5e-08b412a034b0">149</AccountId>
        <AccountType xmlns="543ddcd1-f755-4e2d-ba5e-08b412a034b0"/>
      </UserInfo>
    </odpovednost>
    <nazev_predlohy xmlns="543ddcd1-f755-4e2d-ba5e-08b412a034b0">Smlouva o ochraně důvěrných informací</nazev_predlohy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780E2C19DFE348B8A797B3838A6A08" ma:contentTypeVersion="4" ma:contentTypeDescription="Vytvořit nový dokument" ma:contentTypeScope="" ma:versionID="4b5dba469a8047ddca93aa95e8aa4ec5">
  <xsd:schema xmlns:xsd="http://www.w3.org/2001/XMLSchema" xmlns:p="http://schemas.microsoft.com/office/2006/metadata/properties" xmlns:ns2="543ddcd1-f755-4e2d-ba5e-08b412a034b0" targetNamespace="http://schemas.microsoft.com/office/2006/metadata/properties" ma:root="true" ma:fieldsID="b1a00ba146d1cf613cea6d07f229a19e" ns2:_="">
    <xsd:import namespace="543ddcd1-f755-4e2d-ba5e-08b412a034b0"/>
    <xsd:element name="properties">
      <xsd:complexType>
        <xsd:sequence>
          <xsd:element name="documentManagement">
            <xsd:complexType>
              <xsd:all>
                <xsd:element ref="ns2:nazev_predlohy"/>
                <xsd:element ref="ns2:odpovednost"/>
                <xsd:element ref="ns2:zarazeni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43ddcd1-f755-4e2d-ba5e-08b412a034b0" elementFormDefault="qualified">
    <xsd:import namespace="http://schemas.microsoft.com/office/2006/documentManagement/types"/>
    <xsd:element name="nazev_predlohy" ma:index="8" ma:displayName="Název předlohy" ma:description="Název předlohy" ma:internalName="nazev_predlohy">
      <xsd:simpleType>
        <xsd:restriction base="dms:Text">
          <xsd:maxLength value="255"/>
        </xsd:restriction>
      </xsd:simpleType>
    </xsd:element>
    <xsd:element name="odpovednost" ma:index="9" ma:displayName="Odpovědnost" ma:description="Odpovědnost za dokument" ma:list="UserInfo" ma:internalName="odpovednos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razeni" ma:index="10" ma:displayName="Zařazení" ma:default="Právní informace" ma:description="Zařazení dokumentu" ma:format="Dropdown" ma:internalName="zarazeni">
      <xsd:simpleType>
        <xsd:restriction base="dms:Choice">
          <xsd:enumeration value="Právní informa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5E7E7-018C-4069-83A1-D792C23FD7E2}">
  <ds:schemaRefs>
    <ds:schemaRef ds:uri="http://schemas.microsoft.com/office/2006/metadata/properties"/>
    <ds:schemaRef ds:uri="543ddcd1-f755-4e2d-ba5e-08b412a034b0"/>
  </ds:schemaRefs>
</ds:datastoreItem>
</file>

<file path=customXml/itemProps2.xml><?xml version="1.0" encoding="utf-8"?>
<ds:datastoreItem xmlns:ds="http://schemas.openxmlformats.org/officeDocument/2006/customXml" ds:itemID="{6FB6FD70-914D-4B43-A814-F6019089CD0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9F2D3F-3897-4A9F-AECD-7164C64A17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5CB2B4-3E5D-4B65-95F2-9D27BD35F1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ddcd1-f755-4e2d-ba5e-08b412a034b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7B4CD389-9C4E-4BB2-9CCF-C8356FEC3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1548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[Siemens Non-Disclosure and Restricted Use Agreement]</vt:lpstr>
    </vt:vector>
  </TitlesOfParts>
  <Company>SIEMENS</Company>
  <LinksUpToDate>false</LinksUpToDate>
  <CharactersWithSpaces>10663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[Siemens Non-Disclosure and Restricted Use Agreement]</dc:title>
  <dc:creator>pg112663</dc:creator>
  <cp:lastModifiedBy>Krejci, Patrik (LDA P DSV M)</cp:lastModifiedBy>
  <cp:revision>7</cp:revision>
  <cp:lastPrinted>2016-01-14T17:09:00Z</cp:lastPrinted>
  <dcterms:created xsi:type="dcterms:W3CDTF">2016-05-11T11:40:00Z</dcterms:created>
  <dcterms:modified xsi:type="dcterms:W3CDTF">2020-01-08T12:06:00Z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300.000000000000</vt:lpwstr>
  </property>
  <property fmtid="{D5CDD505-2E9C-101B-9397-08002B2CF9AE}" pid="3" name="display_urn:schemas-microsoft-com:office:office#odpovednost">
    <vt:lpwstr>Svancara, Antonin</vt:lpwstr>
  </property>
</Properties>
</file>